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6.png" ContentType="image/png"/>
  <Override PartName="/word/media/rId77.png" ContentType="image/png"/>
  <Override PartName="/word/media/rId78.png" ContentType="image/png"/>
  <Override PartName="/word/media/rId79.png" ContentType="image/png"/>
  <Override PartName="/word/media/rId48.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[1,2]</w:t>
      </w:r>
      <w:r>
        <w:t xml:space="preserve">. Common practice is to include all variables included in the analyses in the imputation model, these variables may or may not be those at most risk of introducing bias due to an MAR mechanism. Several studies have used imputation in analyses using the ETS and found that results were impacted compared to using complete case analysis or imputation using only analysis variables</w:t>
      </w:r>
      <w:r>
        <w:t xml:space="preserve">[3,4]</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[5]</w:t>
      </w:r>
      <w:r>
        <w:t xml:space="preserve">. Data collection began in 2000 and was expanded, with additional variables, with the launch of a web-based system in 2008</w:t>
      </w:r>
      <w:r>
        <w:t xml:space="preserve">[6]</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[5]</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[7]</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[8]</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[5]</w:t>
      </w:r>
      <w:r>
        <w:t xml:space="preserve">. Socio-economic status (as national quintiles) was not collected until 2010 but after this point is highly complete</w:t>
      </w:r>
      <w:r>
        <w:t xml:space="preserve">[5]</w:t>
      </w:r>
      <w:r>
        <w:t xml:space="preserve">. Comparing pre 2009 and post 2008 in Table 1 (Supplementary Figure S1) we see completeness changes over time</w:t>
      </w:r>
      <w:r>
        <w:t xml:space="preserve">[5,9]</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[10]</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 Also as demonstrated here, by exploring variable reporting across times additional potential sources of bias can be identified and then potentially mitigated. Additionally, multiple variables may suffer from misclassification bias, including BCG status which can be assessed via vaccination record, the presence of a scar, or case recall: this may lead to spurious associations</w:t>
      </w:r>
      <w:r>
        <w:t xml:space="preserve">[11]</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focused on the impact that biases due to missing data may have had</w:t>
      </w:r>
      <w:r>
        <w:t xml:space="preserve"> </w:t>
      </w:r>
      <w:r>
        <w:t xml:space="preserve">[3,4]</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65"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3" w:name="ref-Groothuis-oudshoorn"/>
    <w:p>
      <w:pPr>
        <w:pStyle w:val="BodyText"/>
      </w:pPr>
      <w:r>
        <w:t xml:space="preserve">2 Groothuis-oudshoorn K. Journal of Statistical Software MICE : Multivariate Imputation by Chained.;</w:t>
      </w:r>
      <w:r>
        <w:rPr>
          <w:b/>
        </w:rPr>
        <w:t xml:space="preserve">VV</w:t>
      </w:r>
      <w:r>
        <w:t xml:space="preserve">.</w:t>
      </w:r>
    </w:p>
    <w:bookmarkEnd w:id="53"/>
    <w:bookmarkStart w:id="55" w:name="ref-Abbott:2019:vaccine"/>
    <w:p>
      <w:pPr>
        <w:pStyle w:val="BodyText"/>
      </w:pPr>
      <w:r>
        <w:t xml:space="preserve">3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4">
        <w:r>
          <w:rPr>
            <w:rStyle w:val="Hyperlink"/>
          </w:rPr>
          <w:t xml:space="preserve">https://doi.org/10.1016/j.vaccine.2019.06.056</w:t>
        </w:r>
      </w:hyperlink>
    </w:p>
    <w:bookmarkEnd w:id="55"/>
    <w:bookmarkStart w:id="57" w:name="ref-Abbott:2019:preprint:direct"/>
    <w:p>
      <w:pPr>
        <w:pStyle w:val="BodyText"/>
      </w:pPr>
      <w:r>
        <w:t xml:space="preserve">4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6">
        <w:r>
          <w:rPr>
            <w:rStyle w:val="Hyperlink"/>
          </w:rPr>
          <w:t xml:space="preserve">10.1101/567511</w:t>
        </w:r>
      </w:hyperlink>
    </w:p>
    <w:bookmarkEnd w:id="57"/>
    <w:bookmarkStart w:id="58" w:name="ref-PHE2017"/>
    <w:p>
      <w:pPr>
        <w:pStyle w:val="BodyText"/>
      </w:pPr>
      <w:r>
        <w:t xml:space="preserve">5 Public Health England. Tuberculosis in England 2017 report ( presenting data to end of 2016 ) About Public Health England. 2017.</w:t>
      </w:r>
      <w:r>
        <w:t xml:space="preserve"> </w:t>
      </w:r>
    </w:p>
    <w:bookmarkEnd w:id="58"/>
    <w:bookmarkStart w:id="59" w:name="ref-Kriujshaar2007"/>
    <w:p>
      <w:pPr>
        <w:pStyle w:val="BodyText"/>
      </w:pPr>
      <w:r>
        <w:t xml:space="preserve">6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9"/>
    <w:bookmarkStart w:id="60" w:name="ref-Pillaye2003"/>
    <w:p>
      <w:pPr>
        <w:pStyle w:val="BodyText"/>
      </w:pPr>
      <w:r>
        <w:t xml:space="preserve">7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0"/>
    <w:bookmarkStart w:id="61" w:name="ref-Sterne2001"/>
    <w:p>
      <w:pPr>
        <w:pStyle w:val="BodyText"/>
      </w:pPr>
      <w:r>
        <w:t xml:space="preserve">8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1"/>
    <w:bookmarkStart w:id="62" w:name="ref-PHE2016"/>
    <w:p>
      <w:pPr>
        <w:pStyle w:val="BodyText"/>
      </w:pPr>
      <w:r>
        <w:t xml:space="preserve">9 PHE. Tuberculosis in England 2016 Report (presenting data to end of 2015). 2016.</w:t>
      </w:r>
      <w:r>
        <w:t xml:space="preserve"> </w:t>
      </w:r>
    </w:p>
    <w:bookmarkEnd w:id="62"/>
    <w:bookmarkStart w:id="63" w:name="ref-Benchimol2016a"/>
    <w:p>
      <w:pPr>
        <w:pStyle w:val="BodyText"/>
      </w:pPr>
      <w:r>
        <w:t xml:space="preserve">10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3"/>
    <w:bookmarkStart w:id="64" w:name="ref-Fewell2007"/>
    <w:p>
      <w:pPr>
        <w:pStyle w:val="BodyText"/>
      </w:pPr>
      <w:r>
        <w:t xml:space="preserve">11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4"/>
    <w:bookmarkEnd w:id="65"/>
    <w:p>
      <w:pPr>
        <w:pStyle w:val="Heading1"/>
      </w:pPr>
      <w:bookmarkStart w:id="66" w:name="supplementary-information-exploring-missing-data-in-the-enhanced-tuberculosis-surveillance-system"/>
      <w:r>
        <w:t xml:space="preserve">Supplementary Information: Exploring Missing Data in the Enhanced Tuberculosis Surveillance System</w:t>
      </w:r>
      <w:bookmarkEnd w:id="66"/>
    </w:p>
    <w:p>
      <w:pPr>
        <w:pStyle w:val="FirstParagraph"/>
      </w:pPr>
      <w:r>
        <w:t xml:space="preserve">Sam Abbott, Hannah Christensen, Ellen Brooks-Pollock</w:t>
      </w:r>
    </w:p>
    <w:p>
      <w:pPr>
        <w:pStyle w:val="Heading2"/>
      </w:pPr>
      <w:bookmarkStart w:id="67" w:name="data-completeness-2"/>
      <w:r>
        <w:t xml:space="preserve">Data completeness</w:t>
      </w:r>
      <w:bookmarkEnd w:id="67"/>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69" w:name="drivers-of-data-completeness---additional-results-tables"/>
      <w:r>
        <w:t xml:space="preserve">Drivers of data completeness - additional results tables</w:t>
      </w:r>
      <w:bookmarkEnd w:id="69"/>
    </w:p>
    <w:p>
      <w:pPr>
        <w:pStyle w:val="Heading3"/>
      </w:pPr>
      <w:bookmarkStart w:id="70" w:name="year-of-bcg-vaccination"/>
      <w:r>
        <w:t xml:space="preserve">Year of BCG vaccination</w:t>
      </w:r>
      <w:bookmarkEnd w:id="70"/>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1" w:name="date-of-diagnosis-1"/>
      <w:r>
        <w:t xml:space="preserve">Date of diagnosis</w:t>
      </w:r>
      <w:bookmarkEnd w:id="71"/>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2" w:name="date-of-starting-treatment-and-ending-treatment-1"/>
      <w:r>
        <w:t xml:space="preserve">Date of starting treatment and ending treatment</w:t>
      </w:r>
      <w:bookmarkEnd w:id="72"/>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3" w:name="date-of-death"/>
      <w:r>
        <w:t xml:space="preserve">Date of death</w:t>
      </w:r>
      <w:bookmarkEnd w:id="73"/>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4" w:name="cause-of-death"/>
      <w:r>
        <w:t xml:space="preserve">Cause of death</w:t>
      </w:r>
      <w:bookmarkEnd w:id="74"/>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5" w:name="assessing-temporal-biases-in-reporting-2"/>
      <w:r>
        <w:t xml:space="preserve">Assessing temporal biases in reporting</w:t>
      </w:r>
      <w:bookmarkEnd w:id="75"/>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56" Target="https://doi.org/10.1101/567511"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4"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56" Target="https://doi.org/10.1101/567511"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4"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2019-10-23T13:34:51Z</dcterms:created>
  <dcterms:modified xsi:type="dcterms:W3CDTF">2019-10-23T13:34:51Z</dcterms:modified>
</cp:coreProperties>
</file>